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54" w:rsidRPr="00F27054" w:rsidRDefault="00D87E18" w:rsidP="0046664E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27054">
        <w:rPr>
          <w:rFonts w:ascii="Times New Roman" w:hAnsi="Times New Roman"/>
          <w:sz w:val="28"/>
          <w:szCs w:val="28"/>
        </w:rPr>
        <w:t xml:space="preserve">Методические  документы, разработанные сотрудниками кафедры кадастров и ландшафтной архитектуры для обеспечения образовательного процесса по направлению подготовки </w:t>
      </w:r>
      <w:r w:rsidR="00F27054">
        <w:rPr>
          <w:rFonts w:ascii="Times New Roman" w:hAnsi="Times New Roman"/>
          <w:sz w:val="28"/>
          <w:szCs w:val="28"/>
        </w:rPr>
        <w:t xml:space="preserve"> </w:t>
      </w:r>
      <w:r w:rsidR="00F27054" w:rsidRPr="00F27054">
        <w:rPr>
          <w:rFonts w:ascii="Times New Roman" w:hAnsi="Times New Roman"/>
          <w:sz w:val="28"/>
          <w:szCs w:val="28"/>
        </w:rPr>
        <w:t xml:space="preserve"> </w:t>
      </w:r>
      <w:r w:rsidR="00F27054">
        <w:rPr>
          <w:rFonts w:ascii="Times New Roman" w:hAnsi="Times New Roman"/>
          <w:b/>
          <w:sz w:val="28"/>
          <w:szCs w:val="28"/>
        </w:rPr>
        <w:t>05.06.01  «</w:t>
      </w:r>
      <w:r w:rsidR="00F27054" w:rsidRPr="00F27054">
        <w:rPr>
          <w:rFonts w:ascii="Times New Roman" w:hAnsi="Times New Roman"/>
          <w:b/>
          <w:sz w:val="28"/>
          <w:szCs w:val="28"/>
        </w:rPr>
        <w:t>Науки о земле</w:t>
      </w:r>
      <w:r w:rsidR="00F27054">
        <w:rPr>
          <w:rFonts w:ascii="Times New Roman" w:hAnsi="Times New Roman"/>
          <w:b/>
          <w:sz w:val="28"/>
          <w:szCs w:val="28"/>
        </w:rPr>
        <w:t>»,</w:t>
      </w:r>
      <w:r w:rsidR="00F2705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7054">
        <w:rPr>
          <w:rFonts w:ascii="Times New Roman" w:hAnsi="Times New Roman"/>
          <w:sz w:val="28"/>
          <w:szCs w:val="28"/>
        </w:rPr>
        <w:t>н</w:t>
      </w:r>
      <w:r w:rsidR="00F27054" w:rsidRPr="00F27054">
        <w:rPr>
          <w:rFonts w:ascii="Times New Roman" w:hAnsi="Times New Roman"/>
          <w:sz w:val="28"/>
          <w:szCs w:val="28"/>
        </w:rPr>
        <w:t>ап</w:t>
      </w:r>
      <w:r w:rsidR="00F27054">
        <w:rPr>
          <w:rFonts w:ascii="Times New Roman" w:hAnsi="Times New Roman"/>
          <w:sz w:val="28"/>
          <w:szCs w:val="28"/>
        </w:rPr>
        <w:t>рав</w:t>
      </w:r>
      <w:proofErr w:type="spellEnd"/>
      <w:r w:rsidR="00F27054">
        <w:rPr>
          <w:rFonts w:ascii="Times New Roman" w:hAnsi="Times New Roman"/>
          <w:sz w:val="28"/>
          <w:szCs w:val="28"/>
        </w:rPr>
        <w:t>-</w:t>
      </w:r>
    </w:p>
    <w:p w:rsidR="00F27054" w:rsidRDefault="00F27054" w:rsidP="0046664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27054">
        <w:rPr>
          <w:rFonts w:ascii="Times New Roman" w:hAnsi="Times New Roman"/>
          <w:sz w:val="28"/>
          <w:szCs w:val="28"/>
        </w:rPr>
        <w:t>ленность</w:t>
      </w:r>
      <w:proofErr w:type="spellEnd"/>
      <w:r w:rsidRPr="00F27054">
        <w:rPr>
          <w:rFonts w:ascii="Times New Roman" w:hAnsi="Times New Roman"/>
          <w:sz w:val="28"/>
          <w:szCs w:val="28"/>
        </w:rPr>
        <w:t xml:space="preserve"> </w:t>
      </w:r>
      <w:r w:rsidRPr="00F27054">
        <w:rPr>
          <w:rFonts w:ascii="Times New Roman" w:hAnsi="Times New Roman"/>
          <w:b/>
          <w:sz w:val="28"/>
          <w:szCs w:val="28"/>
        </w:rPr>
        <w:t>25.00.26 Землеустройство, кадастр и мониторинг земель</w:t>
      </w:r>
    </w:p>
    <w:p w:rsidR="0046664E" w:rsidRDefault="0046664E" w:rsidP="004666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818"/>
        <w:gridCol w:w="1200"/>
        <w:gridCol w:w="2301"/>
        <w:gridCol w:w="897"/>
        <w:gridCol w:w="1620"/>
      </w:tblGrid>
      <w:tr w:rsidR="008F3DCF" w:rsidTr="00B6002D">
        <w:tc>
          <w:tcPr>
            <w:tcW w:w="735" w:type="dxa"/>
          </w:tcPr>
          <w:p w:rsidR="008F3DCF" w:rsidRDefault="008F3DCF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3DCF" w:rsidRDefault="008F3DCF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18" w:type="dxa"/>
          </w:tcPr>
          <w:p w:rsidR="008F3DCF" w:rsidRDefault="008F3DCF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1200" w:type="dxa"/>
          </w:tcPr>
          <w:p w:rsidR="008F3DCF" w:rsidRDefault="008F3DCF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301" w:type="dxa"/>
          </w:tcPr>
          <w:p w:rsidR="008F3DCF" w:rsidRDefault="008F3DCF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897" w:type="dxa"/>
          </w:tcPr>
          <w:p w:rsidR="008F3DCF" w:rsidRDefault="008F3DCF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F3DCF" w:rsidRDefault="008F3DCF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</w:tr>
      <w:tr w:rsidR="008F3DCF" w:rsidTr="00B6002D">
        <w:tc>
          <w:tcPr>
            <w:tcW w:w="735" w:type="dxa"/>
          </w:tcPr>
          <w:p w:rsidR="008F3DCF" w:rsidRDefault="009D59D7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8F3DCF" w:rsidRDefault="009D59D7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8F3DCF" w:rsidRDefault="009D59D7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8F3DCF" w:rsidRDefault="009D59D7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8F3DCF" w:rsidRDefault="009D59D7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8F3DCF" w:rsidRDefault="009D59D7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3DCF" w:rsidTr="00B6002D">
        <w:tc>
          <w:tcPr>
            <w:tcW w:w="735" w:type="dxa"/>
          </w:tcPr>
          <w:p w:rsidR="008F3DCF" w:rsidRDefault="009D59D7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B6002D" w:rsidRDefault="009D59D7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  использование сельскохозяйственных угодий в Северо – Кавказском Федеральном округе</w:t>
            </w:r>
          </w:p>
          <w:p w:rsidR="008F3DCF" w:rsidRDefault="00B6002D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(монография)</w:t>
            </w:r>
          </w:p>
        </w:tc>
        <w:tc>
          <w:tcPr>
            <w:tcW w:w="1200" w:type="dxa"/>
          </w:tcPr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6002D">
              <w:rPr>
                <w:rFonts w:ascii="Times New Roman" w:hAnsi="Times New Roman"/>
                <w:sz w:val="28"/>
                <w:szCs w:val="28"/>
              </w:rPr>
              <w:t>еч</w:t>
            </w:r>
            <w:proofErr w:type="spellEnd"/>
            <w:r w:rsidR="00B600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8F3DCF" w:rsidRDefault="00B6002D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Типография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С.А.»</w:t>
            </w:r>
            <w:r w:rsidR="00264D30">
              <w:rPr>
                <w:rFonts w:ascii="Times New Roman" w:hAnsi="Times New Roman"/>
                <w:sz w:val="28"/>
                <w:szCs w:val="28"/>
              </w:rPr>
              <w:t>, Москва – Махачкала,2016 г.</w:t>
            </w:r>
          </w:p>
        </w:tc>
        <w:tc>
          <w:tcPr>
            <w:tcW w:w="897" w:type="dxa"/>
          </w:tcPr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0" w:type="dxa"/>
          </w:tcPr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П.В., Мусаев М.Р., Савинова С.В.,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</w:tr>
      <w:tr w:rsidR="008F3DCF" w:rsidTr="00B6002D">
        <w:tc>
          <w:tcPr>
            <w:tcW w:w="735" w:type="dxa"/>
          </w:tcPr>
          <w:p w:rsidR="008F3DCF" w:rsidRDefault="00264D30" w:rsidP="00F2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264D30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земельн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отношений на территории Северного Кавказа и Республики Дагестан</w:t>
            </w:r>
          </w:p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(учебное пособие)</w:t>
            </w:r>
          </w:p>
        </w:tc>
        <w:tc>
          <w:tcPr>
            <w:tcW w:w="1200" w:type="dxa"/>
          </w:tcPr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Типография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С.А.», Москва – Махачкала,2016 г</w:t>
            </w:r>
          </w:p>
        </w:tc>
        <w:tc>
          <w:tcPr>
            <w:tcW w:w="897" w:type="dxa"/>
          </w:tcPr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620" w:type="dxa"/>
          </w:tcPr>
          <w:p w:rsidR="008F3DCF" w:rsidRDefault="00264D30" w:rsidP="00264D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Мусаев М.Р.,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П.В., Магомедова А.А., Мусаева З.М., Савинова С.В.</w:t>
            </w:r>
          </w:p>
        </w:tc>
      </w:tr>
      <w:tr w:rsidR="00264D30" w:rsidTr="00B6002D">
        <w:tc>
          <w:tcPr>
            <w:tcW w:w="735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планирование земельн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кадастровых работ</w:t>
            </w:r>
          </w:p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(учебное пособие)</w:t>
            </w:r>
          </w:p>
        </w:tc>
        <w:tc>
          <w:tcPr>
            <w:tcW w:w="1200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Типография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С.А.», Москва,2016 г</w:t>
            </w:r>
          </w:p>
        </w:tc>
        <w:tc>
          <w:tcPr>
            <w:tcW w:w="897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620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 М.Р., Магомедова А.А., Мусаева З.М., Савинова С.В.</w:t>
            </w:r>
          </w:p>
        </w:tc>
      </w:tr>
      <w:tr w:rsidR="00264D30" w:rsidTr="00B6002D">
        <w:tc>
          <w:tcPr>
            <w:tcW w:w="735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 недвижимости и мониторинг земель </w:t>
            </w:r>
          </w:p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</w:p>
        </w:tc>
        <w:tc>
          <w:tcPr>
            <w:tcW w:w="1200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Типография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С.А.», Москва,2016 г</w:t>
            </w:r>
          </w:p>
        </w:tc>
        <w:tc>
          <w:tcPr>
            <w:tcW w:w="897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620" w:type="dxa"/>
          </w:tcPr>
          <w:p w:rsidR="00264D30" w:rsidRDefault="00264D30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 М.Р., Магомедова А.А., Мусаева З.М., Савинова С.В.</w:t>
            </w:r>
          </w:p>
        </w:tc>
      </w:tr>
      <w:tr w:rsidR="009E69DC" w:rsidTr="00B6002D">
        <w:tc>
          <w:tcPr>
            <w:tcW w:w="735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18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и методы контроля атмосферных загрязнений и источников выбросов</w:t>
            </w:r>
          </w:p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(учебное пособие, часть 1)</w:t>
            </w:r>
          </w:p>
        </w:tc>
        <w:tc>
          <w:tcPr>
            <w:tcW w:w="1200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Типография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С.А.», Москва,2017 г</w:t>
            </w:r>
          </w:p>
        </w:tc>
        <w:tc>
          <w:tcPr>
            <w:tcW w:w="897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620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Рязапов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А.К., Воронич С.С., Емельянова Т.А., Камов Л.П.,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П.В., Ломакин Г.В.,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Назаров К.С., Пахомов Д.Е., Савинова С.В., Столяров В.М.,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Хлыстун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В.Н., Шаповалов Д.А., Магомедова А.А., Мусаев М.Р., Мусаева З.М.</w:t>
            </w:r>
          </w:p>
        </w:tc>
      </w:tr>
      <w:tr w:rsidR="009E69DC" w:rsidTr="00B6002D">
        <w:tc>
          <w:tcPr>
            <w:tcW w:w="735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18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и методы контроля атмосферных загрязнений и источников выбросов</w:t>
            </w:r>
          </w:p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(учебное пособие, часть 2)</w:t>
            </w:r>
          </w:p>
        </w:tc>
        <w:tc>
          <w:tcPr>
            <w:tcW w:w="1200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Типография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С.А.», Москва,2017 г</w:t>
            </w:r>
          </w:p>
        </w:tc>
        <w:tc>
          <w:tcPr>
            <w:tcW w:w="897" w:type="dxa"/>
          </w:tcPr>
          <w:p w:rsidR="009E69DC" w:rsidRDefault="00D235CE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1620" w:type="dxa"/>
          </w:tcPr>
          <w:p w:rsidR="009E69DC" w:rsidRDefault="009E69DC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Рязапов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А.К., Воронич С.С., Емельянова Т.А., Камов Л.П.,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П.В., Ломакин Г.В.,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Назаров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К.С., Пахомов Д.Е., Савинова С.В., Столяров В.М.,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Хлыстун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В.Н., Шаповалов Д.А., Магомедова А.А.,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Мусаев М.Р., Мусаева З.М.</w:t>
            </w:r>
          </w:p>
        </w:tc>
      </w:tr>
      <w:tr w:rsidR="00B72BD5" w:rsidTr="00B6002D">
        <w:tc>
          <w:tcPr>
            <w:tcW w:w="735" w:type="dxa"/>
          </w:tcPr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18" w:type="dxa"/>
          </w:tcPr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Геоэкологический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мониторинг </w:t>
            </w:r>
          </w:p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(учебное пособие, часть 1)</w:t>
            </w:r>
          </w:p>
        </w:tc>
        <w:tc>
          <w:tcPr>
            <w:tcW w:w="1200" w:type="dxa"/>
          </w:tcPr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Типография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С.А.», Москва,2017 г</w:t>
            </w:r>
          </w:p>
        </w:tc>
        <w:tc>
          <w:tcPr>
            <w:tcW w:w="897" w:type="dxa"/>
          </w:tcPr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1620" w:type="dxa"/>
          </w:tcPr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Вершинин В.В., Шаповалов Д.А., Широкова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А.О., Гуров А.Ф.,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П.В., Савинова С.В., Мусаев М.</w:t>
            </w:r>
          </w:p>
          <w:p w:rsidR="00B72BD5" w:rsidRDefault="00B72BD5" w:rsidP="003C1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Р., Магомедова А.А., Мусаева З.М.</w:t>
            </w:r>
          </w:p>
        </w:tc>
      </w:tr>
    </w:tbl>
    <w:p w:rsidR="00F27054" w:rsidRPr="00F27054" w:rsidRDefault="00F27054" w:rsidP="003C14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27054" w:rsidRPr="00F2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B"/>
    <w:rsid w:val="00264D30"/>
    <w:rsid w:val="003C141C"/>
    <w:rsid w:val="0046664E"/>
    <w:rsid w:val="004E5D8B"/>
    <w:rsid w:val="008F3DCF"/>
    <w:rsid w:val="009D59D7"/>
    <w:rsid w:val="009E69DC"/>
    <w:rsid w:val="00AD4A84"/>
    <w:rsid w:val="00B6002D"/>
    <w:rsid w:val="00B72BD5"/>
    <w:rsid w:val="00D235CE"/>
    <w:rsid w:val="00D87E18"/>
    <w:rsid w:val="00F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54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54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13</cp:revision>
  <dcterms:created xsi:type="dcterms:W3CDTF">2018-04-03T06:36:00Z</dcterms:created>
  <dcterms:modified xsi:type="dcterms:W3CDTF">2018-04-03T07:13:00Z</dcterms:modified>
</cp:coreProperties>
</file>